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9E" w:rsidRDefault="00AF44D5" w:rsidP="00AF44D5">
      <w:pPr>
        <w:jc w:val="center"/>
        <w:rPr>
          <w:rFonts w:ascii="Times New Roman" w:hAnsi="Times New Roman" w:cs="Times New Roman"/>
          <w:b/>
          <w:sz w:val="28"/>
        </w:rPr>
      </w:pPr>
      <w:r w:rsidRPr="00AF44D5">
        <w:rPr>
          <w:rFonts w:ascii="Times New Roman" w:hAnsi="Times New Roman" w:cs="Times New Roman"/>
          <w:b/>
          <w:sz w:val="28"/>
        </w:rPr>
        <w:t>y-</w:t>
      </w:r>
      <w:proofErr w:type="spellStart"/>
      <w:r w:rsidRPr="00AF44D5">
        <w:rPr>
          <w:rFonts w:ascii="Times New Roman" w:hAnsi="Times New Roman" w:cs="Times New Roman"/>
          <w:b/>
          <w:sz w:val="28"/>
        </w:rPr>
        <w:t>Buty</w:t>
      </w:r>
      <w:r w:rsidR="008D2141">
        <w:rPr>
          <w:rFonts w:ascii="Times New Roman" w:hAnsi="Times New Roman" w:cs="Times New Roman"/>
          <w:b/>
          <w:sz w:val="28"/>
        </w:rPr>
        <w:t>rolak</w:t>
      </w:r>
      <w:r w:rsidRPr="00AF44D5">
        <w:rPr>
          <w:rFonts w:ascii="Times New Roman" w:hAnsi="Times New Roman" w:cs="Times New Roman"/>
          <w:b/>
          <w:sz w:val="28"/>
        </w:rPr>
        <w:t>ton</w:t>
      </w:r>
      <w:proofErr w:type="spellEnd"/>
      <w:r w:rsidR="008D2141">
        <w:rPr>
          <w:rFonts w:ascii="Times New Roman" w:hAnsi="Times New Roman" w:cs="Times New Roman"/>
          <w:b/>
          <w:sz w:val="28"/>
        </w:rPr>
        <w:t xml:space="preserve"> (GBL)</w:t>
      </w:r>
    </w:p>
    <w:p w:rsidR="008D2141" w:rsidRDefault="008D2141" w:rsidP="000C60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GBL (Dihydrofuran-2(3H)-on, C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) je bezbarvá jedovatá kapalina, která je rozpustná v </w:t>
      </w:r>
      <w:r w:rsidR="0093400D">
        <w:rPr>
          <w:rFonts w:ascii="Times New Roman" w:hAnsi="Times New Roman" w:cs="Times New Roman"/>
          <w:sz w:val="24"/>
        </w:rPr>
        <w:t xml:space="preserve">alkoholu </w:t>
      </w:r>
      <w:r>
        <w:rPr>
          <w:rFonts w:ascii="Times New Roman" w:hAnsi="Times New Roman" w:cs="Times New Roman"/>
          <w:sz w:val="24"/>
        </w:rPr>
        <w:t xml:space="preserve">a ve vodě. Používá se k výrobě rozpouštěčů lepidel a prostředků na mytí podlah. </w:t>
      </w:r>
      <w:r w:rsidR="00D414E4">
        <w:rPr>
          <w:rFonts w:ascii="Times New Roman" w:hAnsi="Times New Roman" w:cs="Times New Roman"/>
          <w:sz w:val="24"/>
        </w:rPr>
        <w:t>Přesto, že je GBL z mnoha zemích nelegální, bývá zneužíván sportovci k p</w:t>
      </w:r>
      <w:r w:rsidR="002E623E">
        <w:rPr>
          <w:rFonts w:ascii="Times New Roman" w:hAnsi="Times New Roman" w:cs="Times New Roman"/>
          <w:sz w:val="24"/>
        </w:rPr>
        <w:t xml:space="preserve">odpoře růstu svalů a také pro psychoaktivní účinky </w:t>
      </w:r>
      <w:r w:rsidR="00D414E4">
        <w:rPr>
          <w:rFonts w:ascii="Times New Roman" w:hAnsi="Times New Roman" w:cs="Times New Roman"/>
          <w:sz w:val="24"/>
        </w:rPr>
        <w:t xml:space="preserve">jako rekreační droga. </w:t>
      </w:r>
    </w:p>
    <w:p w:rsidR="00D414E4" w:rsidRDefault="00D414E4" w:rsidP="000C60AF">
      <w:pPr>
        <w:jc w:val="both"/>
        <w:rPr>
          <w:rFonts w:ascii="Times New Roman" w:hAnsi="Times New Roman" w:cs="Times New Roman"/>
          <w:sz w:val="24"/>
        </w:rPr>
      </w:pPr>
      <w:r w:rsidRPr="00D414E4">
        <w:rPr>
          <w:rFonts w:ascii="Times New Roman" w:hAnsi="Times New Roman" w:cs="Times New Roman"/>
          <w:sz w:val="24"/>
          <w:u w:val="single"/>
        </w:rPr>
        <w:t>Slangový název:</w:t>
      </w:r>
      <w:r w:rsidRPr="00446D8C">
        <w:rPr>
          <w:rFonts w:ascii="Times New Roman" w:hAnsi="Times New Roman" w:cs="Times New Roman"/>
          <w:sz w:val="24"/>
        </w:rPr>
        <w:t xml:space="preserve"> </w:t>
      </w:r>
      <w:r w:rsidR="002E623E">
        <w:rPr>
          <w:rFonts w:ascii="Times New Roman" w:hAnsi="Times New Roman" w:cs="Times New Roman"/>
          <w:sz w:val="24"/>
        </w:rPr>
        <w:t>Gábina</w:t>
      </w:r>
      <w:r w:rsidR="0093400D">
        <w:rPr>
          <w:rFonts w:ascii="Times New Roman" w:hAnsi="Times New Roman" w:cs="Times New Roman"/>
          <w:sz w:val="24"/>
        </w:rPr>
        <w:t xml:space="preserve">; </w:t>
      </w:r>
      <w:r w:rsidR="00A46DB9">
        <w:rPr>
          <w:rFonts w:ascii="Times New Roman" w:hAnsi="Times New Roman" w:cs="Times New Roman"/>
          <w:sz w:val="24"/>
        </w:rPr>
        <w:t>„G“; géčko; GHB;</w:t>
      </w:r>
      <w:r>
        <w:rPr>
          <w:rFonts w:ascii="Times New Roman" w:hAnsi="Times New Roman" w:cs="Times New Roman"/>
          <w:sz w:val="24"/>
        </w:rPr>
        <w:t xml:space="preserve"> tekutá extáze</w:t>
      </w:r>
      <w:r w:rsidR="00A46DB9">
        <w:rPr>
          <w:rFonts w:ascii="Times New Roman" w:hAnsi="Times New Roman" w:cs="Times New Roman"/>
          <w:sz w:val="24"/>
        </w:rPr>
        <w:t>;</w:t>
      </w:r>
      <w:r w:rsidR="00B22F0D">
        <w:rPr>
          <w:rFonts w:ascii="Times New Roman" w:hAnsi="Times New Roman" w:cs="Times New Roman"/>
          <w:sz w:val="24"/>
        </w:rPr>
        <w:t xml:space="preserve"> </w:t>
      </w:r>
      <w:r w:rsidR="00DB467D">
        <w:rPr>
          <w:rFonts w:ascii="Times New Roman" w:hAnsi="Times New Roman" w:cs="Times New Roman"/>
          <w:sz w:val="24"/>
        </w:rPr>
        <w:t xml:space="preserve">tekuté zlato; </w:t>
      </w:r>
      <w:r w:rsidR="00B22F0D">
        <w:rPr>
          <w:rFonts w:ascii="Times New Roman" w:hAnsi="Times New Roman" w:cs="Times New Roman"/>
          <w:sz w:val="24"/>
        </w:rPr>
        <w:t>Gina;</w:t>
      </w:r>
      <w:r w:rsidR="002E623E">
        <w:rPr>
          <w:rFonts w:ascii="Times New Roman" w:hAnsi="Times New Roman" w:cs="Times New Roman"/>
          <w:sz w:val="24"/>
        </w:rPr>
        <w:t xml:space="preserve"> odstraňovač nátěrů; gama G; „Blue Nitro“.</w:t>
      </w:r>
    </w:p>
    <w:p w:rsidR="004B0783" w:rsidRDefault="004B0783" w:rsidP="000C60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Účinná látka: </w:t>
      </w:r>
      <w:r>
        <w:rPr>
          <w:rFonts w:ascii="Times New Roman" w:hAnsi="Times New Roman" w:cs="Times New Roman"/>
          <w:sz w:val="24"/>
        </w:rPr>
        <w:t xml:space="preserve"> y-</w:t>
      </w:r>
      <w:proofErr w:type="spellStart"/>
      <w:r>
        <w:rPr>
          <w:rFonts w:ascii="Times New Roman" w:hAnsi="Times New Roman" w:cs="Times New Roman"/>
          <w:sz w:val="24"/>
        </w:rPr>
        <w:t>butyrolakton</w:t>
      </w:r>
      <w:proofErr w:type="spellEnd"/>
      <w:r>
        <w:rPr>
          <w:rFonts w:ascii="Times New Roman" w:hAnsi="Times New Roman" w:cs="Times New Roman"/>
          <w:sz w:val="24"/>
        </w:rPr>
        <w:t xml:space="preserve"> (GBL) se po užití </w:t>
      </w:r>
      <w:r w:rsidR="00BC1F6D">
        <w:rPr>
          <w:rFonts w:ascii="Times New Roman" w:hAnsi="Times New Roman" w:cs="Times New Roman"/>
          <w:sz w:val="24"/>
        </w:rPr>
        <w:t>v těle člověka</w:t>
      </w:r>
      <w:r w:rsidR="00947966">
        <w:rPr>
          <w:rFonts w:ascii="Times New Roman" w:hAnsi="Times New Roman" w:cs="Times New Roman"/>
          <w:sz w:val="24"/>
        </w:rPr>
        <w:t xml:space="preserve"> přeměňuje </w:t>
      </w:r>
      <w:r>
        <w:rPr>
          <w:rFonts w:ascii="Times New Roman" w:hAnsi="Times New Roman" w:cs="Times New Roman"/>
          <w:sz w:val="24"/>
        </w:rPr>
        <w:t>na y-</w:t>
      </w:r>
      <w:proofErr w:type="spellStart"/>
      <w:r>
        <w:rPr>
          <w:rFonts w:ascii="Times New Roman" w:hAnsi="Times New Roman" w:cs="Times New Roman"/>
          <w:sz w:val="24"/>
        </w:rPr>
        <w:t>hydroxybutyrát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40C65">
        <w:rPr>
          <w:rFonts w:ascii="Times New Roman" w:hAnsi="Times New Roman" w:cs="Times New Roman"/>
          <w:sz w:val="24"/>
        </w:rPr>
        <w:t xml:space="preserve">(GBH). Přesto, že tyto dvě látky mají stejný účinek, GBL je dvakrát silnější než GBH. Kvůli vzhledu jsou tyto dvě látky lehce zaměnitelné a může dojít k předávkování a ohrožení na životě. </w:t>
      </w:r>
      <w:r w:rsidR="00211A4B">
        <w:rPr>
          <w:rFonts w:ascii="Times New Roman" w:hAnsi="Times New Roman" w:cs="Times New Roman"/>
          <w:sz w:val="24"/>
        </w:rPr>
        <w:t xml:space="preserve">Obě tyto látky jsou řazeny mezi barbituráty. Jedná se o látky, které působí tlumivě na centrální nervovou soustavu. </w:t>
      </w:r>
    </w:p>
    <w:p w:rsidR="00A747AB" w:rsidRDefault="00211A4B" w:rsidP="000C60AF">
      <w:pPr>
        <w:jc w:val="both"/>
        <w:rPr>
          <w:rFonts w:ascii="Times New Roman" w:hAnsi="Times New Roman" w:cs="Times New Roman"/>
          <w:sz w:val="24"/>
        </w:rPr>
      </w:pPr>
      <w:r w:rsidRPr="00211A4B">
        <w:rPr>
          <w:rFonts w:ascii="Times New Roman" w:hAnsi="Times New Roman" w:cs="Times New Roman"/>
          <w:sz w:val="24"/>
          <w:u w:val="single"/>
        </w:rPr>
        <w:t>Vzhled</w:t>
      </w:r>
      <w:r w:rsidR="002E623E">
        <w:rPr>
          <w:rFonts w:ascii="Times New Roman" w:hAnsi="Times New Roman" w:cs="Times New Roman"/>
          <w:sz w:val="24"/>
        </w:rPr>
        <w:t>: S GBL je možné se</w:t>
      </w:r>
      <w:r>
        <w:rPr>
          <w:rFonts w:ascii="Times New Roman" w:hAnsi="Times New Roman" w:cs="Times New Roman"/>
          <w:sz w:val="24"/>
        </w:rPr>
        <w:t xml:space="preserve"> setkat ve formě bílého pr</w:t>
      </w:r>
      <w:r w:rsidR="002E623E">
        <w:rPr>
          <w:rFonts w:ascii="Times New Roman" w:hAnsi="Times New Roman" w:cs="Times New Roman"/>
          <w:sz w:val="24"/>
        </w:rPr>
        <w:t>ášku, tablet a bezbarvé kapalin</w:t>
      </w:r>
      <w:r w:rsidR="0093400D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>. GBL je průmyslově využíváno jako rozpou</w:t>
      </w:r>
      <w:r w:rsidR="00AD3B99">
        <w:rPr>
          <w:rFonts w:ascii="Times New Roman" w:hAnsi="Times New Roman" w:cs="Times New Roman"/>
          <w:sz w:val="24"/>
        </w:rPr>
        <w:t>štědlo a prodává se v čisticích</w:t>
      </w:r>
      <w:r w:rsidR="00BC1F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prostředcích</w:t>
      </w:r>
      <w:r w:rsidR="00AD3B99">
        <w:rPr>
          <w:rFonts w:ascii="Times New Roman" w:hAnsi="Times New Roman" w:cs="Times New Roman"/>
          <w:sz w:val="24"/>
        </w:rPr>
        <w:t xml:space="preserve"> a ředidlech</w:t>
      </w:r>
      <w:r w:rsidR="00BC1F6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Bílý prášek má výraznou slanou chuť. Oproti tomu </w:t>
      </w:r>
      <w:r w:rsidR="00AD3B99">
        <w:rPr>
          <w:rFonts w:ascii="Times New Roman" w:hAnsi="Times New Roman" w:cs="Times New Roman"/>
          <w:sz w:val="24"/>
        </w:rPr>
        <w:t>s</w:t>
      </w:r>
      <w:r w:rsidR="0093400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GBH</w:t>
      </w:r>
      <w:r w:rsidR="0093400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které je z GBL vyráběno, je možné se častěji setkat ve formě bezbarvé tekutiny. Podle vzhledu se </w:t>
      </w:r>
      <w:r w:rsidR="0093400D">
        <w:rPr>
          <w:rFonts w:ascii="Times New Roman" w:hAnsi="Times New Roman" w:cs="Times New Roman"/>
          <w:sz w:val="24"/>
        </w:rPr>
        <w:t xml:space="preserve">také </w:t>
      </w:r>
      <w:r>
        <w:rPr>
          <w:rFonts w:ascii="Times New Roman" w:hAnsi="Times New Roman" w:cs="Times New Roman"/>
          <w:sz w:val="24"/>
        </w:rPr>
        <w:t>nazývá tekutá extáze.</w:t>
      </w:r>
      <w:r w:rsidR="00A747AB">
        <w:rPr>
          <w:rFonts w:ascii="Times New Roman" w:hAnsi="Times New Roman" w:cs="Times New Roman"/>
          <w:sz w:val="24"/>
        </w:rPr>
        <w:t xml:space="preserve">  </w:t>
      </w:r>
    </w:p>
    <w:p w:rsidR="00A747AB" w:rsidRPr="00A747AB" w:rsidRDefault="00A747AB" w:rsidP="000C60AF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7B49AAD" wp14:editId="569E94A5">
            <wp:simplePos x="0" y="0"/>
            <wp:positionH relativeFrom="margin">
              <wp:posOffset>3264325</wp:posOffset>
            </wp:positionH>
            <wp:positionV relativeFrom="paragraph">
              <wp:posOffset>141500</wp:posOffset>
            </wp:positionV>
            <wp:extent cx="2324100" cy="2076450"/>
            <wp:effectExtent l="0" t="0" r="0" b="0"/>
            <wp:wrapSquare wrapText="bothSides"/>
            <wp:docPr id="6" name="Obrázek 6" descr="GHB - Alcohol and Drug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HB - Alcohol and Drug Found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3134360" cy="2076450"/>
            <wp:effectExtent l="0" t="0" r="8890" b="0"/>
            <wp:wrapNone/>
            <wp:docPr id="4" name="Obrázek 4" descr="A bottle of the unclassified drug Gamma-Butyrolactone (GBL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ottle of the unclassified drug Gamma-Butyrolactone (GBL)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7AB" w:rsidRDefault="00A747AB" w:rsidP="000C60AF">
      <w:pPr>
        <w:jc w:val="both"/>
        <w:rPr>
          <w:rFonts w:ascii="Times New Roman" w:hAnsi="Times New Roman" w:cs="Times New Roman"/>
          <w:sz w:val="24"/>
        </w:rPr>
      </w:pPr>
    </w:p>
    <w:p w:rsidR="00A747AB" w:rsidRPr="00A747AB" w:rsidRDefault="00A747AB" w:rsidP="000C60AF">
      <w:pPr>
        <w:tabs>
          <w:tab w:val="left" w:pos="679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3168C" w:rsidRDefault="00BC1F6D" w:rsidP="000C60AF">
      <w:pPr>
        <w:jc w:val="both"/>
        <w:rPr>
          <w:rFonts w:ascii="Times New Roman" w:hAnsi="Times New Roman" w:cs="Times New Roman"/>
          <w:sz w:val="24"/>
        </w:rPr>
      </w:pPr>
      <w:r w:rsidRPr="00BC1F6D">
        <w:rPr>
          <w:rFonts w:ascii="Times New Roman" w:hAnsi="Times New Roman" w:cs="Times New Roman"/>
          <w:sz w:val="24"/>
          <w:u w:val="single"/>
        </w:rPr>
        <w:t>Původ: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33802">
        <w:rPr>
          <w:rFonts w:ascii="Times New Roman" w:hAnsi="Times New Roman" w:cs="Times New Roman"/>
          <w:sz w:val="24"/>
        </w:rPr>
        <w:t>Původně bylo GBL v</w:t>
      </w:r>
      <w:r w:rsidR="00AD3B99">
        <w:rPr>
          <w:rFonts w:ascii="Times New Roman" w:hAnsi="Times New Roman" w:cs="Times New Roman"/>
          <w:sz w:val="24"/>
        </w:rPr>
        <w:t xml:space="preserve">yráběno k průmyslovému užití. Na konci </w:t>
      </w:r>
      <w:r w:rsidR="00233802">
        <w:rPr>
          <w:rFonts w:ascii="Times New Roman" w:hAnsi="Times New Roman" w:cs="Times New Roman"/>
          <w:sz w:val="24"/>
        </w:rPr>
        <w:t>90. letech minulého století se začalo užívat jako rekreační droga.</w:t>
      </w:r>
      <w:r w:rsidR="0003168C">
        <w:rPr>
          <w:rFonts w:ascii="Times New Roman" w:hAnsi="Times New Roman" w:cs="Times New Roman"/>
          <w:sz w:val="24"/>
        </w:rPr>
        <w:t xml:space="preserve"> V těchto letech se užívání GBL i GBH rozmohlo v </w:t>
      </w:r>
      <w:r w:rsidR="0093400D">
        <w:rPr>
          <w:rFonts w:ascii="Times New Roman" w:hAnsi="Times New Roman" w:cs="Times New Roman"/>
          <w:sz w:val="24"/>
        </w:rPr>
        <w:t>e</w:t>
      </w:r>
      <w:r w:rsidR="0003168C">
        <w:rPr>
          <w:rFonts w:ascii="Times New Roman" w:hAnsi="Times New Roman" w:cs="Times New Roman"/>
          <w:sz w:val="24"/>
        </w:rPr>
        <w:t>vropských zemích o více než 10</w:t>
      </w:r>
      <w:r w:rsidR="0093400D">
        <w:rPr>
          <w:rFonts w:ascii="Times New Roman" w:hAnsi="Times New Roman" w:cs="Times New Roman"/>
          <w:sz w:val="24"/>
        </w:rPr>
        <w:t xml:space="preserve"> </w:t>
      </w:r>
      <w:r w:rsidR="0003168C">
        <w:rPr>
          <w:rFonts w:ascii="Times New Roman" w:hAnsi="Times New Roman" w:cs="Times New Roman"/>
          <w:sz w:val="24"/>
        </w:rPr>
        <w:t>%.  Dále se GBL začalo prodávat jako všespásný lék. Pro své účinky se prodávalo</w:t>
      </w:r>
      <w:r w:rsidR="0093400D">
        <w:rPr>
          <w:rFonts w:ascii="Times New Roman" w:hAnsi="Times New Roman" w:cs="Times New Roman"/>
          <w:sz w:val="24"/>
        </w:rPr>
        <w:t xml:space="preserve"> jako doplněk stravy.</w:t>
      </w:r>
      <w:r w:rsidR="0003168C">
        <w:rPr>
          <w:rFonts w:ascii="Times New Roman" w:hAnsi="Times New Roman" w:cs="Times New Roman"/>
          <w:sz w:val="24"/>
        </w:rPr>
        <w:t xml:space="preserve"> </w:t>
      </w:r>
      <w:r w:rsidR="00233802">
        <w:rPr>
          <w:rFonts w:ascii="Times New Roman" w:hAnsi="Times New Roman" w:cs="Times New Roman"/>
          <w:sz w:val="24"/>
        </w:rPr>
        <w:t>Sportovci jej začali hojně užívat koncem 9</w:t>
      </w:r>
      <w:r w:rsidR="00AD3B99">
        <w:rPr>
          <w:rFonts w:ascii="Times New Roman" w:hAnsi="Times New Roman" w:cs="Times New Roman"/>
          <w:sz w:val="24"/>
        </w:rPr>
        <w:t>0. let v USA, po té</w:t>
      </w:r>
      <w:r w:rsidR="00233802">
        <w:rPr>
          <w:rFonts w:ascii="Times New Roman" w:hAnsi="Times New Roman" w:cs="Times New Roman"/>
          <w:sz w:val="24"/>
        </w:rPr>
        <w:t xml:space="preserve"> co bylo GHB státem zakázáno. </w:t>
      </w:r>
      <w:r w:rsidR="0003168C">
        <w:rPr>
          <w:rFonts w:ascii="Times New Roman" w:hAnsi="Times New Roman" w:cs="Times New Roman"/>
          <w:sz w:val="24"/>
        </w:rPr>
        <w:t xml:space="preserve">GBL pomáhá k růstu svalů, uvolňuje růstový hormon. Dále se dříve prodával jako lék na spaní a lék ke zvýšení libida. </w:t>
      </w:r>
    </w:p>
    <w:p w:rsidR="002E623E" w:rsidRDefault="002E623E" w:rsidP="000C60AF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C86021" w:rsidRPr="002E623E" w:rsidRDefault="006E4D49" w:rsidP="000C60AF">
      <w:pPr>
        <w:jc w:val="both"/>
        <w:rPr>
          <w:rFonts w:ascii="Times New Roman" w:hAnsi="Times New Roman" w:cs="Times New Roman"/>
          <w:sz w:val="24"/>
          <w:u w:val="single"/>
        </w:rPr>
      </w:pPr>
      <w:r w:rsidRPr="006E4D49">
        <w:rPr>
          <w:rFonts w:ascii="Times New Roman" w:hAnsi="Times New Roman" w:cs="Times New Roman"/>
          <w:sz w:val="24"/>
          <w:u w:val="single"/>
        </w:rPr>
        <w:t xml:space="preserve">Žádoucí účinky: </w:t>
      </w:r>
      <w:r w:rsidR="00A747AB">
        <w:rPr>
          <w:rFonts w:ascii="Times New Roman" w:hAnsi="Times New Roman" w:cs="Times New Roman"/>
          <w:sz w:val="24"/>
        </w:rPr>
        <w:t>pocity euforie, uvolnění, navození spánku, zvýšení libida</w:t>
      </w:r>
      <w:r w:rsidR="0093400D">
        <w:rPr>
          <w:rFonts w:ascii="Times New Roman" w:hAnsi="Times New Roman" w:cs="Times New Roman"/>
          <w:sz w:val="24"/>
        </w:rPr>
        <w:t>.</w:t>
      </w:r>
    </w:p>
    <w:p w:rsidR="00AC566A" w:rsidRDefault="00A747AB" w:rsidP="000C60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GBL má podobn</w:t>
      </w:r>
      <w:r w:rsidR="0025597F">
        <w:rPr>
          <w:rFonts w:ascii="Times New Roman" w:hAnsi="Times New Roman" w:cs="Times New Roman"/>
          <w:sz w:val="24"/>
        </w:rPr>
        <w:t xml:space="preserve">ý sociální účinek jako </w:t>
      </w:r>
      <w:r>
        <w:rPr>
          <w:rFonts w:ascii="Times New Roman" w:hAnsi="Times New Roman" w:cs="Times New Roman"/>
          <w:sz w:val="24"/>
        </w:rPr>
        <w:t>MDMA</w:t>
      </w:r>
      <w:r w:rsidR="0025597F">
        <w:rPr>
          <w:rFonts w:ascii="Times New Roman" w:hAnsi="Times New Roman" w:cs="Times New Roman"/>
          <w:sz w:val="24"/>
        </w:rPr>
        <w:t xml:space="preserve"> či jin</w:t>
      </w:r>
      <w:r w:rsidR="0093400D">
        <w:rPr>
          <w:rFonts w:ascii="Times New Roman" w:hAnsi="Times New Roman" w:cs="Times New Roman"/>
          <w:sz w:val="24"/>
        </w:rPr>
        <w:t>é</w:t>
      </w:r>
      <w:r w:rsidR="0025597F">
        <w:rPr>
          <w:rFonts w:ascii="Times New Roman" w:hAnsi="Times New Roman" w:cs="Times New Roman"/>
          <w:sz w:val="24"/>
        </w:rPr>
        <w:t xml:space="preserve"> extáze</w:t>
      </w:r>
      <w:r>
        <w:rPr>
          <w:rFonts w:ascii="Times New Roman" w:hAnsi="Times New Roman" w:cs="Times New Roman"/>
          <w:sz w:val="24"/>
        </w:rPr>
        <w:t>. Jedinec se cí</w:t>
      </w:r>
      <w:r w:rsidR="00AC566A">
        <w:rPr>
          <w:rFonts w:ascii="Times New Roman" w:hAnsi="Times New Roman" w:cs="Times New Roman"/>
          <w:sz w:val="24"/>
        </w:rPr>
        <w:t>tí euforicky a má potřebu</w:t>
      </w:r>
      <w:r>
        <w:rPr>
          <w:rFonts w:ascii="Times New Roman" w:hAnsi="Times New Roman" w:cs="Times New Roman"/>
          <w:sz w:val="24"/>
        </w:rPr>
        <w:t xml:space="preserve"> sociálního kontaktu. </w:t>
      </w:r>
      <w:r w:rsidR="00AC566A">
        <w:rPr>
          <w:rFonts w:ascii="Times New Roman" w:hAnsi="Times New Roman" w:cs="Times New Roman"/>
          <w:sz w:val="24"/>
        </w:rPr>
        <w:t>GBL je považováno za taneční drogu, avšak je častěji užíváno v soukrom</w:t>
      </w:r>
      <w:r w:rsidR="00EB73A8">
        <w:rPr>
          <w:rFonts w:ascii="Times New Roman" w:hAnsi="Times New Roman" w:cs="Times New Roman"/>
          <w:sz w:val="24"/>
        </w:rPr>
        <w:t>í</w:t>
      </w:r>
      <w:r w:rsidR="00AC566A">
        <w:rPr>
          <w:rFonts w:ascii="Times New Roman" w:hAnsi="Times New Roman" w:cs="Times New Roman"/>
          <w:sz w:val="24"/>
        </w:rPr>
        <w:t xml:space="preserve"> z důvodu sedativní</w:t>
      </w:r>
      <w:r w:rsidR="0093400D">
        <w:rPr>
          <w:rFonts w:ascii="Times New Roman" w:hAnsi="Times New Roman" w:cs="Times New Roman"/>
          <w:sz w:val="24"/>
        </w:rPr>
        <w:t>ch</w:t>
      </w:r>
      <w:r w:rsidR="00AC566A">
        <w:rPr>
          <w:rFonts w:ascii="Times New Roman" w:hAnsi="Times New Roman" w:cs="Times New Roman"/>
          <w:sz w:val="24"/>
        </w:rPr>
        <w:t xml:space="preserve"> účink</w:t>
      </w:r>
      <w:r w:rsidR="0093400D">
        <w:rPr>
          <w:rFonts w:ascii="Times New Roman" w:hAnsi="Times New Roman" w:cs="Times New Roman"/>
          <w:sz w:val="24"/>
        </w:rPr>
        <w:t>ů.</w:t>
      </w:r>
    </w:p>
    <w:p w:rsidR="00AC566A" w:rsidRDefault="00E4328B" w:rsidP="000C60AF">
      <w:pPr>
        <w:jc w:val="both"/>
        <w:rPr>
          <w:rFonts w:ascii="Times New Roman" w:hAnsi="Times New Roman" w:cs="Times New Roman"/>
          <w:sz w:val="24"/>
        </w:rPr>
      </w:pPr>
      <w:r w:rsidRPr="00AC566A">
        <w:rPr>
          <w:rFonts w:ascii="Times New Roman" w:hAnsi="Times New Roman" w:cs="Times New Roman"/>
          <w:sz w:val="24"/>
        </w:rPr>
        <w:lastRenderedPageBreak/>
        <w:t>Podle studií je GBL často užíváno s dalšími drogami, hlav</w:t>
      </w:r>
      <w:r w:rsidR="00AC566A">
        <w:rPr>
          <w:rFonts w:ascii="Times New Roman" w:hAnsi="Times New Roman" w:cs="Times New Roman"/>
          <w:sz w:val="24"/>
        </w:rPr>
        <w:t xml:space="preserve">ně s marihuanou a alkoholem, </w:t>
      </w:r>
      <w:r w:rsidRPr="00AC566A">
        <w:rPr>
          <w:rFonts w:ascii="Times New Roman" w:hAnsi="Times New Roman" w:cs="Times New Roman"/>
          <w:sz w:val="24"/>
        </w:rPr>
        <w:t>což se zásadně nedopo</w:t>
      </w:r>
      <w:r w:rsidR="00AC566A">
        <w:rPr>
          <w:rFonts w:ascii="Times New Roman" w:hAnsi="Times New Roman" w:cs="Times New Roman"/>
          <w:sz w:val="24"/>
        </w:rPr>
        <w:t>ručuje kvůli zdravotním rizikům.</w:t>
      </w:r>
    </w:p>
    <w:p w:rsidR="00D3692B" w:rsidRPr="00950024" w:rsidRDefault="00AC566A" w:rsidP="000C60AF">
      <w:pPr>
        <w:jc w:val="both"/>
        <w:rPr>
          <w:rStyle w:val="jlqj4b"/>
          <w:rFonts w:ascii="Times New Roman" w:hAnsi="Times New Roman" w:cs="Times New Roman"/>
          <w:sz w:val="24"/>
          <w:u w:val="single"/>
        </w:rPr>
      </w:pPr>
      <w:r w:rsidRPr="00AC566A">
        <w:rPr>
          <w:rStyle w:val="jlqj4b"/>
          <w:rFonts w:ascii="Times New Roman" w:hAnsi="Times New Roman" w:cs="Times New Roman"/>
          <w:sz w:val="24"/>
        </w:rPr>
        <w:t>Studie ukazují, že droga působí na každé</w:t>
      </w:r>
      <w:r w:rsidR="00EB73A8">
        <w:rPr>
          <w:rStyle w:val="jlqj4b"/>
          <w:rFonts w:ascii="Times New Roman" w:hAnsi="Times New Roman" w:cs="Times New Roman"/>
          <w:sz w:val="24"/>
        </w:rPr>
        <w:t>ho</w:t>
      </w:r>
      <w:r w:rsidRPr="00AC566A">
        <w:rPr>
          <w:rStyle w:val="jlqj4b"/>
          <w:rFonts w:ascii="Times New Roman" w:hAnsi="Times New Roman" w:cs="Times New Roman"/>
          <w:sz w:val="24"/>
        </w:rPr>
        <w:t xml:space="preserve"> jedince odlišně. Na něko</w:t>
      </w:r>
      <w:bookmarkStart w:id="0" w:name="_GoBack"/>
      <w:r w:rsidR="00EB73A8">
        <w:rPr>
          <w:rStyle w:val="jlqj4b"/>
          <w:rFonts w:ascii="Times New Roman" w:hAnsi="Times New Roman" w:cs="Times New Roman"/>
          <w:sz w:val="24"/>
        </w:rPr>
        <w:t>ho</w:t>
      </w:r>
      <w:bookmarkEnd w:id="0"/>
      <w:r w:rsidRPr="00AC566A">
        <w:rPr>
          <w:rStyle w:val="jlqj4b"/>
          <w:rFonts w:ascii="Times New Roman" w:hAnsi="Times New Roman" w:cs="Times New Roman"/>
          <w:sz w:val="24"/>
        </w:rPr>
        <w:t xml:space="preserve"> může droga působit sedativně</w:t>
      </w:r>
      <w:r w:rsidR="0093400D">
        <w:rPr>
          <w:rStyle w:val="jlqj4b"/>
          <w:rFonts w:ascii="Times New Roman" w:hAnsi="Times New Roman" w:cs="Times New Roman"/>
          <w:sz w:val="24"/>
        </w:rPr>
        <w:t>,</w:t>
      </w:r>
      <w:r w:rsidRPr="00AC566A">
        <w:rPr>
          <w:rStyle w:val="jlqj4b"/>
          <w:rFonts w:ascii="Times New Roman" w:hAnsi="Times New Roman" w:cs="Times New Roman"/>
          <w:sz w:val="24"/>
        </w:rPr>
        <w:t xml:space="preserve"> na jiného </w:t>
      </w:r>
      <w:r>
        <w:rPr>
          <w:rStyle w:val="jlqj4b"/>
          <w:rFonts w:ascii="Times New Roman" w:hAnsi="Times New Roman" w:cs="Times New Roman"/>
          <w:sz w:val="24"/>
        </w:rPr>
        <w:t>euforicky. N</w:t>
      </w:r>
      <w:r w:rsidRPr="00AC566A">
        <w:rPr>
          <w:rStyle w:val="jlqj4b"/>
          <w:rFonts w:ascii="Times New Roman" w:hAnsi="Times New Roman" w:cs="Times New Roman"/>
          <w:sz w:val="24"/>
        </w:rPr>
        <w:t>avození c</w:t>
      </w:r>
      <w:r>
        <w:rPr>
          <w:rStyle w:val="jlqj4b"/>
          <w:rFonts w:ascii="Times New Roman" w:hAnsi="Times New Roman" w:cs="Times New Roman"/>
          <w:sz w:val="24"/>
        </w:rPr>
        <w:t>htěného účinku lze ovlivnit</w:t>
      </w:r>
      <w:r w:rsidRPr="00AC566A">
        <w:rPr>
          <w:rStyle w:val="jlqj4b"/>
          <w:rFonts w:ascii="Times New Roman" w:hAnsi="Times New Roman" w:cs="Times New Roman"/>
          <w:sz w:val="24"/>
        </w:rPr>
        <w:t xml:space="preserve"> množstvím dávky. Obecně</w:t>
      </w:r>
      <w:r w:rsidR="00D3692B">
        <w:rPr>
          <w:rStyle w:val="jlqj4b"/>
          <w:rFonts w:ascii="Times New Roman" w:hAnsi="Times New Roman" w:cs="Times New Roman"/>
          <w:sz w:val="24"/>
        </w:rPr>
        <w:t xml:space="preserve"> se ukazuje, že 0,5g GBL</w:t>
      </w:r>
      <w:r w:rsidRPr="00AC566A">
        <w:rPr>
          <w:rStyle w:val="jlqj4b"/>
          <w:rFonts w:ascii="Times New Roman" w:hAnsi="Times New Roman" w:cs="Times New Roman"/>
          <w:sz w:val="24"/>
        </w:rPr>
        <w:t xml:space="preserve"> má spíše uklidňující účinky</w:t>
      </w:r>
      <w:r w:rsidR="0093400D">
        <w:rPr>
          <w:rStyle w:val="jlqj4b"/>
          <w:rFonts w:ascii="Times New Roman" w:hAnsi="Times New Roman" w:cs="Times New Roman"/>
          <w:sz w:val="24"/>
        </w:rPr>
        <w:t xml:space="preserve">, </w:t>
      </w:r>
      <w:r w:rsidRPr="00AC566A">
        <w:rPr>
          <w:rStyle w:val="jlqj4b"/>
          <w:rFonts w:ascii="Times New Roman" w:hAnsi="Times New Roman" w:cs="Times New Roman"/>
          <w:sz w:val="24"/>
        </w:rPr>
        <w:t xml:space="preserve">více než 1g  působí jako stimulant a 2-3g uvede uživatele do hlubokého spánku. </w:t>
      </w:r>
      <w:r w:rsidR="00D3692B">
        <w:rPr>
          <w:rStyle w:val="jlqj4b"/>
          <w:rFonts w:ascii="Times New Roman" w:hAnsi="Times New Roman" w:cs="Times New Roman"/>
          <w:sz w:val="24"/>
        </w:rPr>
        <w:t>Ú</w:t>
      </w:r>
      <w:r w:rsidR="00D3692B" w:rsidRPr="00D3692B">
        <w:rPr>
          <w:rStyle w:val="jlqj4b"/>
          <w:rFonts w:ascii="Times New Roman" w:hAnsi="Times New Roman" w:cs="Times New Roman"/>
          <w:sz w:val="24"/>
        </w:rPr>
        <w:t>činky GHB nastupují po 15 minutách od užití a trvají 3-4 hodiny. V případě užití GBL však účinky trvají delší dobu</w:t>
      </w:r>
      <w:r w:rsidR="0093400D">
        <w:rPr>
          <w:rStyle w:val="jlqj4b"/>
          <w:rFonts w:ascii="Times New Roman" w:hAnsi="Times New Roman" w:cs="Times New Roman"/>
          <w:sz w:val="24"/>
        </w:rPr>
        <w:t xml:space="preserve"> než v případě GHB.</w:t>
      </w:r>
    </w:p>
    <w:p w:rsidR="00D3692B" w:rsidRDefault="00950024" w:rsidP="000C60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Účinky nežádoucí: </w:t>
      </w:r>
      <w:r>
        <w:rPr>
          <w:rFonts w:ascii="Times New Roman" w:hAnsi="Times New Roman" w:cs="Times New Roman"/>
          <w:sz w:val="24"/>
        </w:rPr>
        <w:t xml:space="preserve">nevolnost, pocity na zvracení, bolesti žaludku, náhlý kolaps až kóma, inkontinence moči a stolice, křeče, </w:t>
      </w:r>
      <w:proofErr w:type="spellStart"/>
      <w:r>
        <w:rPr>
          <w:rFonts w:ascii="Times New Roman" w:hAnsi="Times New Roman" w:cs="Times New Roman"/>
          <w:sz w:val="24"/>
        </w:rPr>
        <w:t>brachykardie</w:t>
      </w:r>
      <w:proofErr w:type="spellEnd"/>
      <w:r>
        <w:rPr>
          <w:rFonts w:ascii="Times New Roman" w:hAnsi="Times New Roman" w:cs="Times New Roman"/>
          <w:sz w:val="24"/>
        </w:rPr>
        <w:t>, respirační potíže až z</w:t>
      </w:r>
      <w:r w:rsidR="00AD3B99">
        <w:rPr>
          <w:rFonts w:ascii="Times New Roman" w:hAnsi="Times New Roman" w:cs="Times New Roman"/>
          <w:sz w:val="24"/>
        </w:rPr>
        <w:t>ástava dechu, agresivní chování a</w:t>
      </w:r>
      <w:r>
        <w:rPr>
          <w:rFonts w:ascii="Times New Roman" w:hAnsi="Times New Roman" w:cs="Times New Roman"/>
          <w:sz w:val="24"/>
        </w:rPr>
        <w:t xml:space="preserve"> halucinace</w:t>
      </w:r>
      <w:r w:rsidR="0093400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2D0CB9" w:rsidRDefault="00950024" w:rsidP="000C60AF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2971800" cy="2838450"/>
            <wp:effectExtent l="0" t="0" r="0" b="0"/>
            <wp:docPr id="7" name="Obrázek 7" descr="GHB on FlowVella - Presentation Software for Mac iPad and i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HB on FlowVella - Presentation Software for Mac iPad and iPh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B9" w:rsidRDefault="00950024" w:rsidP="000C60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Nežádoucí účinky se projevují </w:t>
      </w:r>
      <w:r w:rsidR="002D0CB9">
        <w:rPr>
          <w:rFonts w:ascii="Times New Roman" w:hAnsi="Times New Roman" w:cs="Times New Roman"/>
          <w:sz w:val="24"/>
        </w:rPr>
        <w:t xml:space="preserve">především </w:t>
      </w:r>
      <w:r>
        <w:rPr>
          <w:rFonts w:ascii="Times New Roman" w:hAnsi="Times New Roman" w:cs="Times New Roman"/>
          <w:sz w:val="24"/>
        </w:rPr>
        <w:t xml:space="preserve">po kombinaci GBL s jinou psychoaktivní látkou, zvláště s alkoholem. Zahraniční i česká internetová fóra varují před konzumací alkoholu spojeného s drogou GBH/GBL. Po užití alkoholu a GBH/GBL může jedinec upadnout do kómatu a </w:t>
      </w:r>
      <w:r w:rsidR="00AD3B99">
        <w:rPr>
          <w:rFonts w:ascii="Times New Roman" w:hAnsi="Times New Roman" w:cs="Times New Roman"/>
          <w:sz w:val="24"/>
        </w:rPr>
        <w:t>jsou ohroženy základní životní funkce</w:t>
      </w:r>
      <w:r>
        <w:rPr>
          <w:rFonts w:ascii="Times New Roman" w:hAnsi="Times New Roman" w:cs="Times New Roman"/>
          <w:sz w:val="24"/>
        </w:rPr>
        <w:t>.</w:t>
      </w:r>
      <w:r w:rsidR="002D0CB9">
        <w:rPr>
          <w:rFonts w:ascii="Times New Roman" w:hAnsi="Times New Roman" w:cs="Times New Roman"/>
          <w:sz w:val="24"/>
        </w:rPr>
        <w:t xml:space="preserve"> </w:t>
      </w:r>
    </w:p>
    <w:p w:rsidR="00FB5711" w:rsidRDefault="002D0CB9" w:rsidP="000C60AF">
      <w:pPr>
        <w:jc w:val="both"/>
        <w:rPr>
          <w:rStyle w:val="jlqj4b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Nežádoucí účinky nastávají po předávkování. Pokud jedinec užije přílišné množství GBL může upadnout do hlubokého spánku až kómatu. Nadměrné množství </w:t>
      </w:r>
      <w:r w:rsidR="00AD3B99">
        <w:rPr>
          <w:rFonts w:ascii="Times New Roman" w:hAnsi="Times New Roman" w:cs="Times New Roman"/>
          <w:sz w:val="24"/>
        </w:rPr>
        <w:t>přitom</w:t>
      </w:r>
      <w:r>
        <w:rPr>
          <w:rFonts w:ascii="Times New Roman" w:hAnsi="Times New Roman" w:cs="Times New Roman"/>
          <w:sz w:val="24"/>
        </w:rPr>
        <w:t xml:space="preserve"> jedinec může užít omylem. GBL je lehce zaměnitelné s GHB. GBL je však mnohem silnější</w:t>
      </w:r>
      <w:r>
        <w:rPr>
          <w:rStyle w:val="jlqj4b"/>
          <w:rFonts w:ascii="Times New Roman" w:hAnsi="Times New Roman" w:cs="Times New Roman"/>
          <w:sz w:val="24"/>
        </w:rPr>
        <w:t xml:space="preserve">. 1ml čistého GBL je ekvivalentem 2,5g čistého GBH. </w:t>
      </w:r>
      <w:r w:rsidRPr="00950024">
        <w:rPr>
          <w:rFonts w:ascii="Times New Roman" w:hAnsi="Times New Roman" w:cs="Times New Roman"/>
          <w:sz w:val="24"/>
        </w:rPr>
        <w:t>Nežádoucí účinky způsobené nadměrnou dávkou GBH a GBL vedou v některých případech k hospitalizaci na Jednotkách intenzivní péče. Podle EMCDDA vzrostl počet předávkování o 30</w:t>
      </w:r>
      <w:r w:rsidR="0093400D">
        <w:rPr>
          <w:rFonts w:ascii="Times New Roman" w:hAnsi="Times New Roman" w:cs="Times New Roman"/>
          <w:sz w:val="24"/>
        </w:rPr>
        <w:t xml:space="preserve"> </w:t>
      </w:r>
      <w:r w:rsidRPr="00950024">
        <w:rPr>
          <w:rFonts w:ascii="Times New Roman" w:hAnsi="Times New Roman" w:cs="Times New Roman"/>
          <w:sz w:val="24"/>
        </w:rPr>
        <w:t>% v Nizozemsku v letech 2000-2004.</w:t>
      </w:r>
      <w:r>
        <w:rPr>
          <w:rFonts w:ascii="Times New Roman" w:hAnsi="Times New Roman" w:cs="Times New Roman"/>
          <w:sz w:val="24"/>
        </w:rPr>
        <w:t xml:space="preserve"> </w:t>
      </w:r>
      <w:r w:rsidRPr="00950024">
        <w:rPr>
          <w:rFonts w:ascii="Times New Roman" w:hAnsi="Times New Roman" w:cs="Times New Roman"/>
          <w:sz w:val="24"/>
        </w:rPr>
        <w:t xml:space="preserve">Ukazuje se, že předávkování GBH a GBL může být životu ohrožující. V letech 1995-2006 ve Spojeném </w:t>
      </w:r>
      <w:r w:rsidR="0093400D">
        <w:rPr>
          <w:rFonts w:ascii="Times New Roman" w:hAnsi="Times New Roman" w:cs="Times New Roman"/>
          <w:sz w:val="24"/>
        </w:rPr>
        <w:t>k</w:t>
      </w:r>
      <w:r w:rsidRPr="00950024">
        <w:rPr>
          <w:rFonts w:ascii="Times New Roman" w:hAnsi="Times New Roman" w:cs="Times New Roman"/>
          <w:sz w:val="24"/>
        </w:rPr>
        <w:t>rálovství bylo zaznamenáno 44 případů úmrtí z důvodu užití GBH/GB</w:t>
      </w:r>
      <w:r w:rsidR="00FB5711">
        <w:rPr>
          <w:rFonts w:ascii="Times New Roman" w:hAnsi="Times New Roman" w:cs="Times New Roman"/>
          <w:sz w:val="24"/>
        </w:rPr>
        <w:t xml:space="preserve">L. </w:t>
      </w:r>
    </w:p>
    <w:p w:rsidR="00306415" w:rsidRDefault="00306415" w:rsidP="000C60AF">
      <w:pPr>
        <w:jc w:val="both"/>
        <w:rPr>
          <w:rStyle w:val="jlqj4b"/>
          <w:rFonts w:ascii="Times New Roman" w:hAnsi="Times New Roman" w:cs="Times New Roman"/>
          <w:sz w:val="24"/>
        </w:rPr>
      </w:pPr>
      <w:r>
        <w:rPr>
          <w:rStyle w:val="jlqj4b"/>
          <w:rFonts w:ascii="Times New Roman" w:hAnsi="Times New Roman" w:cs="Times New Roman"/>
          <w:sz w:val="24"/>
          <w:u w:val="single"/>
        </w:rPr>
        <w:t xml:space="preserve">Způsob užití: </w:t>
      </w:r>
      <w:r>
        <w:rPr>
          <w:rStyle w:val="jlqj4b"/>
          <w:rFonts w:ascii="Times New Roman" w:hAnsi="Times New Roman" w:cs="Times New Roman"/>
          <w:sz w:val="24"/>
        </w:rPr>
        <w:t>orálně, nitrožilně</w:t>
      </w:r>
      <w:r w:rsidR="0093400D">
        <w:rPr>
          <w:rStyle w:val="jlqj4b"/>
          <w:rFonts w:ascii="Times New Roman" w:hAnsi="Times New Roman" w:cs="Times New Roman"/>
          <w:sz w:val="24"/>
        </w:rPr>
        <w:t>.</w:t>
      </w:r>
    </w:p>
    <w:p w:rsidR="00D87A8A" w:rsidRDefault="00D87A8A" w:rsidP="000C60AF">
      <w:pPr>
        <w:jc w:val="both"/>
        <w:rPr>
          <w:rStyle w:val="jlqj4b"/>
          <w:rFonts w:ascii="Times New Roman" w:hAnsi="Times New Roman" w:cs="Times New Roman"/>
          <w:sz w:val="24"/>
        </w:rPr>
      </w:pPr>
      <w:r>
        <w:rPr>
          <w:rStyle w:val="jlqj4b"/>
          <w:rFonts w:ascii="Times New Roman" w:hAnsi="Times New Roman" w:cs="Times New Roman"/>
          <w:sz w:val="24"/>
        </w:rPr>
        <w:t>Někteří uživatelé pr</w:t>
      </w:r>
      <w:r w:rsidR="00AD3B99">
        <w:rPr>
          <w:rStyle w:val="jlqj4b"/>
          <w:rFonts w:ascii="Times New Roman" w:hAnsi="Times New Roman" w:cs="Times New Roman"/>
          <w:sz w:val="24"/>
        </w:rPr>
        <w:t>o rychlejší a silnější účinek aplikují látku nitrožilně</w:t>
      </w:r>
      <w:r>
        <w:rPr>
          <w:rStyle w:val="jlqj4b"/>
          <w:rFonts w:ascii="Times New Roman" w:hAnsi="Times New Roman" w:cs="Times New Roman"/>
          <w:sz w:val="24"/>
        </w:rPr>
        <w:t xml:space="preserve">. </w:t>
      </w:r>
      <w:r w:rsidR="00306415">
        <w:rPr>
          <w:rStyle w:val="jlqj4b"/>
          <w:rFonts w:ascii="Times New Roman" w:hAnsi="Times New Roman" w:cs="Times New Roman"/>
          <w:sz w:val="24"/>
        </w:rPr>
        <w:t>Ve většině případů je</w:t>
      </w:r>
      <w:r w:rsidR="00AD3B99">
        <w:rPr>
          <w:rStyle w:val="jlqj4b"/>
          <w:rFonts w:ascii="Times New Roman" w:hAnsi="Times New Roman" w:cs="Times New Roman"/>
          <w:sz w:val="24"/>
        </w:rPr>
        <w:t xml:space="preserve"> však</w:t>
      </w:r>
      <w:r w:rsidR="00306415">
        <w:rPr>
          <w:rStyle w:val="jlqj4b"/>
          <w:rFonts w:ascii="Times New Roman" w:hAnsi="Times New Roman" w:cs="Times New Roman"/>
          <w:sz w:val="24"/>
        </w:rPr>
        <w:t xml:space="preserve"> GBL i GBH užíváno orálně, smícháním látky s pitím. </w:t>
      </w:r>
      <w:r>
        <w:rPr>
          <w:rStyle w:val="jlqj4b"/>
          <w:rFonts w:ascii="Times New Roman" w:hAnsi="Times New Roman" w:cs="Times New Roman"/>
          <w:sz w:val="24"/>
        </w:rPr>
        <w:t>Tekutá extáze je hojně využívána násilníky a sexuálními predátory. Látku aplikují oběti do pití, čímž ji utlumí a omámí</w:t>
      </w:r>
      <w:r w:rsidR="00AD3B99">
        <w:rPr>
          <w:rStyle w:val="jlqj4b"/>
          <w:rFonts w:ascii="Times New Roman" w:hAnsi="Times New Roman" w:cs="Times New Roman"/>
          <w:sz w:val="24"/>
        </w:rPr>
        <w:t>.</w:t>
      </w:r>
    </w:p>
    <w:p w:rsidR="00FB5711" w:rsidRPr="00FB5711" w:rsidRDefault="0093400D" w:rsidP="000C60AF">
      <w:pPr>
        <w:jc w:val="both"/>
        <w:rPr>
          <w:rStyle w:val="jlqj4b"/>
          <w:rFonts w:ascii="Times New Roman" w:hAnsi="Times New Roman" w:cs="Times New Roman"/>
          <w:sz w:val="24"/>
          <w:u w:val="single"/>
        </w:rPr>
      </w:pPr>
      <w:r>
        <w:rPr>
          <w:rStyle w:val="jlqj4b"/>
          <w:rFonts w:ascii="Times New Roman" w:hAnsi="Times New Roman" w:cs="Times New Roman"/>
          <w:sz w:val="24"/>
          <w:u w:val="single"/>
        </w:rPr>
        <w:t>První</w:t>
      </w:r>
      <w:r w:rsidR="00FB5711" w:rsidRPr="00FB5711">
        <w:rPr>
          <w:rStyle w:val="jlqj4b"/>
          <w:rFonts w:ascii="Times New Roman" w:hAnsi="Times New Roman" w:cs="Times New Roman"/>
          <w:sz w:val="24"/>
          <w:u w:val="single"/>
        </w:rPr>
        <w:t xml:space="preserve"> pomoc</w:t>
      </w:r>
      <w:r>
        <w:rPr>
          <w:rStyle w:val="jlqj4b"/>
          <w:rFonts w:ascii="Times New Roman" w:hAnsi="Times New Roman" w:cs="Times New Roman"/>
          <w:sz w:val="24"/>
          <w:u w:val="single"/>
        </w:rPr>
        <w:t>:</w:t>
      </w:r>
    </w:p>
    <w:p w:rsidR="00950024" w:rsidRPr="00FB5711" w:rsidRDefault="0025597F" w:rsidP="000C60AF">
      <w:pPr>
        <w:jc w:val="both"/>
        <w:rPr>
          <w:rStyle w:val="jlqj4b"/>
          <w:rFonts w:ascii="Times New Roman" w:hAnsi="Times New Roman" w:cs="Times New Roman"/>
          <w:sz w:val="24"/>
        </w:rPr>
      </w:pPr>
      <w:r>
        <w:rPr>
          <w:rStyle w:val="jlqj4b"/>
          <w:rFonts w:ascii="Times New Roman" w:hAnsi="Times New Roman" w:cs="Times New Roman"/>
          <w:sz w:val="24"/>
        </w:rPr>
        <w:lastRenderedPageBreak/>
        <w:t>Pokud se jedinec předávkoval do hlubokého spánku, je třeba nenechat ho bez dozoru a sledovat životní funkce</w:t>
      </w:r>
      <w:r w:rsidR="0093400D">
        <w:rPr>
          <w:rStyle w:val="jlqj4b"/>
          <w:rFonts w:ascii="Times New Roman" w:hAnsi="Times New Roman" w:cs="Times New Roman"/>
          <w:sz w:val="24"/>
        </w:rPr>
        <w:t xml:space="preserve"> </w:t>
      </w:r>
      <w:r>
        <w:rPr>
          <w:rStyle w:val="jlqj4b"/>
          <w:rFonts w:ascii="Times New Roman" w:hAnsi="Times New Roman" w:cs="Times New Roman"/>
          <w:sz w:val="24"/>
        </w:rPr>
        <w:t>-</w:t>
      </w:r>
      <w:r w:rsidR="0093400D">
        <w:rPr>
          <w:rStyle w:val="jlqj4b"/>
          <w:rFonts w:ascii="Times New Roman" w:hAnsi="Times New Roman" w:cs="Times New Roman"/>
          <w:sz w:val="24"/>
        </w:rPr>
        <w:t xml:space="preserve"> </w:t>
      </w:r>
      <w:r>
        <w:rPr>
          <w:rStyle w:val="jlqj4b"/>
          <w:rFonts w:ascii="Times New Roman" w:hAnsi="Times New Roman" w:cs="Times New Roman"/>
          <w:sz w:val="24"/>
        </w:rPr>
        <w:t xml:space="preserve">dýchání, srdeční tep. Dále je třeba uložit jedince do </w:t>
      </w:r>
      <w:r w:rsidR="0093400D">
        <w:rPr>
          <w:rStyle w:val="jlqj4b"/>
          <w:rFonts w:ascii="Times New Roman" w:hAnsi="Times New Roman" w:cs="Times New Roman"/>
          <w:sz w:val="24"/>
        </w:rPr>
        <w:t xml:space="preserve">stabilizované </w:t>
      </w:r>
      <w:r>
        <w:rPr>
          <w:rStyle w:val="jlqj4b"/>
          <w:rFonts w:ascii="Times New Roman" w:hAnsi="Times New Roman" w:cs="Times New Roman"/>
          <w:sz w:val="24"/>
        </w:rPr>
        <w:t>polohy na boku. Pokud jedinec nereaguje a je v bezvědomí či kómatu je třeba volat záchrannou službu (155).</w:t>
      </w:r>
      <w:r w:rsidR="00FB5711" w:rsidRPr="00FB5711">
        <w:rPr>
          <w:rStyle w:val="jlqj4b"/>
          <w:rFonts w:ascii="Times New Roman" w:hAnsi="Times New Roman" w:cs="Times New Roman"/>
          <w:sz w:val="24"/>
        </w:rPr>
        <w:t xml:space="preserve"> </w:t>
      </w:r>
    </w:p>
    <w:p w:rsidR="00AB2228" w:rsidRDefault="0025597F" w:rsidP="000C60AF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Závislost:</w:t>
      </w:r>
    </w:p>
    <w:p w:rsidR="0025597F" w:rsidRPr="0025597F" w:rsidRDefault="000C60AF" w:rsidP="000C60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látce GBL může vzniknout fyzická závislost, jak u chronických, tak</w:t>
      </w:r>
      <w:r w:rsidR="0093400D">
        <w:rPr>
          <w:rFonts w:ascii="Times New Roman" w:hAnsi="Times New Roman" w:cs="Times New Roman"/>
          <w:sz w:val="24"/>
        </w:rPr>
        <w:t xml:space="preserve"> i</w:t>
      </w:r>
      <w:r>
        <w:rPr>
          <w:rFonts w:ascii="Times New Roman" w:hAnsi="Times New Roman" w:cs="Times New Roman"/>
          <w:sz w:val="24"/>
        </w:rPr>
        <w:t xml:space="preserve"> u rekreačních</w:t>
      </w:r>
      <w:r w:rsidR="0093400D">
        <w:rPr>
          <w:rFonts w:ascii="Times New Roman" w:hAnsi="Times New Roman" w:cs="Times New Roman"/>
          <w:sz w:val="24"/>
        </w:rPr>
        <w:t xml:space="preserve"> uživatelů</w:t>
      </w:r>
      <w:r>
        <w:rPr>
          <w:rFonts w:ascii="Times New Roman" w:hAnsi="Times New Roman" w:cs="Times New Roman"/>
          <w:sz w:val="24"/>
        </w:rPr>
        <w:t>. Při náhlém vysa</w:t>
      </w:r>
      <w:r w:rsidR="00AD3B99">
        <w:rPr>
          <w:rFonts w:ascii="Times New Roman" w:hAnsi="Times New Roman" w:cs="Times New Roman"/>
          <w:sz w:val="24"/>
        </w:rPr>
        <w:t>zení GBL</w:t>
      </w:r>
      <w:r>
        <w:rPr>
          <w:rFonts w:ascii="Times New Roman" w:hAnsi="Times New Roman" w:cs="Times New Roman"/>
          <w:sz w:val="24"/>
        </w:rPr>
        <w:t xml:space="preserve"> hrozí abstinenční příznaky, které mohou být životu ohrožující. </w:t>
      </w:r>
      <w:r w:rsidR="0025597F">
        <w:rPr>
          <w:rFonts w:ascii="Times New Roman" w:hAnsi="Times New Roman" w:cs="Times New Roman"/>
          <w:sz w:val="24"/>
        </w:rPr>
        <w:t xml:space="preserve">Syndromy </w:t>
      </w:r>
      <w:r w:rsidR="0093400D">
        <w:rPr>
          <w:rFonts w:ascii="Times New Roman" w:hAnsi="Times New Roman" w:cs="Times New Roman"/>
          <w:sz w:val="24"/>
        </w:rPr>
        <w:t>závislosti</w:t>
      </w:r>
      <w:r w:rsidR="0025597F">
        <w:rPr>
          <w:rFonts w:ascii="Times New Roman" w:hAnsi="Times New Roman" w:cs="Times New Roman"/>
          <w:sz w:val="24"/>
        </w:rPr>
        <w:t xml:space="preserve"> jsou obdobné jako u </w:t>
      </w:r>
      <w:r w:rsidR="0093400D">
        <w:rPr>
          <w:rFonts w:ascii="Times New Roman" w:hAnsi="Times New Roman" w:cs="Times New Roman"/>
          <w:sz w:val="24"/>
        </w:rPr>
        <w:t>závislosti</w:t>
      </w:r>
      <w:r w:rsidR="0025597F">
        <w:rPr>
          <w:rFonts w:ascii="Times New Roman" w:hAnsi="Times New Roman" w:cs="Times New Roman"/>
          <w:sz w:val="24"/>
        </w:rPr>
        <w:t xml:space="preserve"> na alkoholu</w:t>
      </w:r>
      <w:r>
        <w:rPr>
          <w:rFonts w:ascii="Times New Roman" w:hAnsi="Times New Roman" w:cs="Times New Roman"/>
          <w:sz w:val="24"/>
        </w:rPr>
        <w:t xml:space="preserve"> nebo hypnotik</w:t>
      </w:r>
      <w:r w:rsidR="0093400D">
        <w:rPr>
          <w:rFonts w:ascii="Times New Roman" w:hAnsi="Times New Roman" w:cs="Times New Roman"/>
          <w:sz w:val="24"/>
        </w:rPr>
        <w:t xml:space="preserve"> </w:t>
      </w:r>
      <w:r w:rsidR="0025597F">
        <w:rPr>
          <w:rFonts w:ascii="Times New Roman" w:hAnsi="Times New Roman" w:cs="Times New Roman"/>
          <w:sz w:val="24"/>
        </w:rPr>
        <w:t>- nes</w:t>
      </w:r>
      <w:r>
        <w:rPr>
          <w:rFonts w:ascii="Times New Roman" w:hAnsi="Times New Roman" w:cs="Times New Roman"/>
          <w:sz w:val="24"/>
        </w:rPr>
        <w:t>pavost, silné úzkosti, třes, tachykardie</w:t>
      </w:r>
      <w:r w:rsidR="0025597F">
        <w:rPr>
          <w:rFonts w:ascii="Times New Roman" w:hAnsi="Times New Roman" w:cs="Times New Roman"/>
          <w:sz w:val="24"/>
        </w:rPr>
        <w:t>. Tyto symptomy samovolně vy</w:t>
      </w:r>
      <w:r>
        <w:rPr>
          <w:rFonts w:ascii="Times New Roman" w:hAnsi="Times New Roman" w:cs="Times New Roman"/>
          <w:sz w:val="24"/>
        </w:rPr>
        <w:t xml:space="preserve">mizí v rozmezí 24 hodin až dvou týdnů. </w:t>
      </w:r>
    </w:p>
    <w:p w:rsidR="009C73DC" w:rsidRDefault="009C73DC" w:rsidP="000C60AF">
      <w:pPr>
        <w:jc w:val="both"/>
        <w:rPr>
          <w:rFonts w:ascii="Times New Roman" w:hAnsi="Times New Roman" w:cs="Times New Roman"/>
          <w:sz w:val="24"/>
        </w:rPr>
      </w:pPr>
    </w:p>
    <w:p w:rsidR="00430639" w:rsidRDefault="000C60AF" w:rsidP="00AD3B99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Zdroje: </w:t>
      </w:r>
    </w:p>
    <w:p w:rsidR="000C60AF" w:rsidRDefault="000C60AF" w:rsidP="00AD3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WHO (2014). </w:t>
      </w:r>
      <w:proofErr w:type="spellStart"/>
      <w:r>
        <w:rPr>
          <w:rFonts w:ascii="Times New Roman" w:hAnsi="Times New Roman" w:cs="Times New Roman"/>
          <w:i/>
          <w:sz w:val="24"/>
        </w:rPr>
        <w:t>Gamma-butyrolactone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(GBL): </w:t>
      </w:r>
      <w:proofErr w:type="spellStart"/>
      <w:r>
        <w:rPr>
          <w:rFonts w:ascii="Times New Roman" w:hAnsi="Times New Roman" w:cs="Times New Roman"/>
          <w:i/>
          <w:sz w:val="24"/>
        </w:rPr>
        <w:t>Critical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0103D4">
        <w:rPr>
          <w:rFonts w:ascii="Times New Roman" w:hAnsi="Times New Roman" w:cs="Times New Roman"/>
          <w:i/>
          <w:sz w:val="24"/>
        </w:rPr>
        <w:t>Review</w:t>
      </w:r>
      <w:proofErr w:type="spellEnd"/>
      <w:r w:rsidR="000103D4">
        <w:rPr>
          <w:rFonts w:ascii="Times New Roman" w:hAnsi="Times New Roman" w:cs="Times New Roman"/>
          <w:i/>
          <w:sz w:val="24"/>
        </w:rPr>
        <w:t xml:space="preserve"> Report. </w:t>
      </w:r>
      <w:proofErr w:type="spellStart"/>
      <w:r w:rsidR="000103D4" w:rsidRPr="000103D4">
        <w:rPr>
          <w:rFonts w:ascii="Times New Roman" w:hAnsi="Times New Roman" w:cs="Times New Roman"/>
          <w:sz w:val="24"/>
        </w:rPr>
        <w:t>Geneva</w:t>
      </w:r>
      <w:proofErr w:type="spellEnd"/>
      <w:r w:rsidR="000103D4" w:rsidRPr="000103D4">
        <w:rPr>
          <w:rFonts w:ascii="Times New Roman" w:hAnsi="Times New Roman" w:cs="Times New Roman"/>
          <w:sz w:val="24"/>
        </w:rPr>
        <w:t xml:space="preserve">. </w:t>
      </w:r>
    </w:p>
    <w:p w:rsidR="000103D4" w:rsidRDefault="000103D4" w:rsidP="00AD3B99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0641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EMCDDA (2008</w:t>
      </w:r>
      <w:r w:rsidRPr="00306415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 xml:space="preserve">). GHB and </w:t>
      </w:r>
      <w:proofErr w:type="spellStart"/>
      <w:r w:rsidRPr="00306415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>its</w:t>
      </w:r>
      <w:proofErr w:type="spellEnd"/>
      <w:r w:rsidRPr="00306415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306415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>precursor</w:t>
      </w:r>
      <w:proofErr w:type="spellEnd"/>
      <w:r w:rsidRPr="00306415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 xml:space="preserve"> GBL: </w:t>
      </w:r>
      <w:proofErr w:type="spellStart"/>
      <w:r w:rsidRPr="00306415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>an</w:t>
      </w:r>
      <w:proofErr w:type="spellEnd"/>
      <w:r w:rsidRPr="00306415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306415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>emerging</w:t>
      </w:r>
      <w:proofErr w:type="spellEnd"/>
      <w:r w:rsidRPr="00306415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 xml:space="preserve"> trend case study</w:t>
      </w:r>
      <w:r w:rsidRPr="0030641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Získáno z: </w:t>
      </w:r>
      <w:hyperlink r:id="rId8" w:history="1">
        <w:r w:rsidRPr="00306415">
          <w:rPr>
            <w:rStyle w:val="Hypertextovodkaz"/>
            <w:rFonts w:ascii="Times New Roman" w:hAnsi="Times New Roman" w:cs="Times New Roman"/>
            <w:sz w:val="24"/>
            <w:szCs w:val="20"/>
            <w:shd w:val="clear" w:color="auto" w:fill="FFFFFF"/>
          </w:rPr>
          <w:t>https://www.emcdda.europa.eu/publications/thematic-papers/ghb_en</w:t>
        </w:r>
      </w:hyperlink>
      <w:r w:rsidR="00306415" w:rsidRPr="0030641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</w:p>
    <w:p w:rsidR="00306415" w:rsidRDefault="00306415" w:rsidP="00AD3B99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Chemsex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ed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.). </w:t>
      </w:r>
      <w:r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 xml:space="preserve">Aplikace G.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Získáno z: </w:t>
      </w:r>
      <w:hyperlink r:id="rId9" w:history="1">
        <w:r w:rsidRPr="00D04E3D">
          <w:rPr>
            <w:rStyle w:val="Hypertextovodkaz"/>
            <w:rFonts w:ascii="Times New Roman" w:hAnsi="Times New Roman" w:cs="Times New Roman"/>
            <w:sz w:val="24"/>
            <w:szCs w:val="20"/>
            <w:shd w:val="clear" w:color="auto" w:fill="FFFFFF"/>
          </w:rPr>
          <w:t>https://www.chemsex.cz/aplikace-g</w:t>
        </w:r>
      </w:hyperlink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306415" w:rsidRPr="00306415" w:rsidRDefault="00306415" w:rsidP="00AD3B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Pellegrini</w:t>
      </w:r>
      <w:proofErr w:type="spellEnd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Bolino</w:t>
      </w:r>
      <w:proofErr w:type="spellEnd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G., </w:t>
      </w:r>
      <w:proofErr w:type="spellStart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Varì</w:t>
      </w:r>
      <w:proofErr w:type="spellEnd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R., </w:t>
      </w:r>
      <w:proofErr w:type="spellStart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Giorgetti</w:t>
      </w:r>
      <w:proofErr w:type="spellEnd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R., </w:t>
      </w:r>
      <w:proofErr w:type="spellStart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Pichini</w:t>
      </w:r>
      <w:proofErr w:type="spellEnd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&amp; </w:t>
      </w:r>
      <w:proofErr w:type="spellStart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Busardò</w:t>
      </w:r>
      <w:proofErr w:type="spellEnd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 P. (2019). A </w:t>
      </w:r>
      <w:proofErr w:type="spellStart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fatal</w:t>
      </w:r>
      <w:proofErr w:type="spellEnd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chemsex</w:t>
      </w:r>
      <w:proofErr w:type="spellEnd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case </w:t>
      </w:r>
      <w:proofErr w:type="spellStart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involving</w:t>
      </w:r>
      <w:proofErr w:type="spellEnd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γ‐</w:t>
      </w:r>
      <w:proofErr w:type="spellStart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butyrolactone</w:t>
      </w:r>
      <w:proofErr w:type="spellEnd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4‐methylethcathinone. </w:t>
      </w:r>
      <w:proofErr w:type="spellStart"/>
      <w:r w:rsidRPr="0030641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Drug</w:t>
      </w:r>
      <w:proofErr w:type="spellEnd"/>
      <w:r w:rsidRPr="0030641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641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testing</w:t>
      </w:r>
      <w:proofErr w:type="spellEnd"/>
      <w:r w:rsidRPr="0030641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30641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analysis</w:t>
      </w:r>
      <w:proofErr w:type="spellEnd"/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0641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</w:t>
      </w:r>
      <w:r w:rsidRPr="00306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(9), 1465-1470. Získáno z: </w:t>
      </w:r>
      <w:hyperlink r:id="rId10" w:history="1">
        <w:r w:rsidRPr="00306415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A </w:t>
        </w:r>
        <w:proofErr w:type="spellStart"/>
        <w:r w:rsidRPr="00306415">
          <w:rPr>
            <w:rStyle w:val="Hypertextovodkaz"/>
            <w:rFonts w:ascii="Times New Roman" w:hAnsi="Times New Roman" w:cs="Times New Roman"/>
            <w:sz w:val="24"/>
            <w:szCs w:val="24"/>
          </w:rPr>
          <w:t>fatal</w:t>
        </w:r>
        <w:proofErr w:type="spellEnd"/>
        <w:r w:rsidRPr="00306415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306415">
          <w:rPr>
            <w:rStyle w:val="Hypertextovodkaz"/>
            <w:rFonts w:ascii="Times New Roman" w:hAnsi="Times New Roman" w:cs="Times New Roman"/>
            <w:sz w:val="24"/>
            <w:szCs w:val="24"/>
          </w:rPr>
          <w:t>chemsex</w:t>
        </w:r>
        <w:proofErr w:type="spellEnd"/>
        <w:r w:rsidRPr="00306415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case </w:t>
        </w:r>
        <w:proofErr w:type="spellStart"/>
        <w:r w:rsidRPr="00306415">
          <w:rPr>
            <w:rStyle w:val="Hypertextovodkaz"/>
            <w:rFonts w:ascii="Times New Roman" w:hAnsi="Times New Roman" w:cs="Times New Roman"/>
            <w:sz w:val="24"/>
            <w:szCs w:val="24"/>
          </w:rPr>
          <w:t>involving</w:t>
        </w:r>
        <w:proofErr w:type="spellEnd"/>
        <w:r w:rsidRPr="00306415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γ-</w:t>
        </w:r>
        <w:proofErr w:type="spellStart"/>
        <w:r w:rsidRPr="00306415">
          <w:rPr>
            <w:rStyle w:val="Hypertextovodkaz"/>
            <w:rFonts w:ascii="Times New Roman" w:hAnsi="Times New Roman" w:cs="Times New Roman"/>
            <w:sz w:val="24"/>
            <w:szCs w:val="24"/>
          </w:rPr>
          <w:t>butyrolactone</w:t>
        </w:r>
        <w:proofErr w:type="spellEnd"/>
        <w:r w:rsidRPr="00306415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and 4-methylethcathinone - </w:t>
        </w:r>
        <w:proofErr w:type="spellStart"/>
        <w:r w:rsidRPr="00306415">
          <w:rPr>
            <w:rStyle w:val="Hypertextovodkaz"/>
            <w:rFonts w:ascii="Times New Roman" w:hAnsi="Times New Roman" w:cs="Times New Roman"/>
            <w:sz w:val="24"/>
            <w:szCs w:val="24"/>
          </w:rPr>
          <w:t>PubMed</w:t>
        </w:r>
        <w:proofErr w:type="spellEnd"/>
        <w:r w:rsidRPr="00306415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(nih.gov)</w:t>
        </w:r>
      </w:hyperlink>
      <w:r w:rsidRPr="00306415">
        <w:rPr>
          <w:rFonts w:ascii="Times New Roman" w:hAnsi="Times New Roman" w:cs="Times New Roman"/>
          <w:sz w:val="24"/>
          <w:szCs w:val="24"/>
        </w:rPr>
        <w:t>.</w:t>
      </w:r>
    </w:p>
    <w:p w:rsidR="00306415" w:rsidRPr="00306415" w:rsidRDefault="00306415" w:rsidP="00AD3B99">
      <w:pPr>
        <w:jc w:val="both"/>
        <w:rPr>
          <w:rFonts w:ascii="Times New Roman" w:hAnsi="Times New Roman" w:cs="Times New Roman"/>
          <w:sz w:val="40"/>
        </w:rPr>
      </w:pPr>
    </w:p>
    <w:sectPr w:rsidR="00306415" w:rsidRPr="00306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6B4"/>
    <w:multiLevelType w:val="hybridMultilevel"/>
    <w:tmpl w:val="5D42120A"/>
    <w:lvl w:ilvl="0" w:tplc="F262457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1651"/>
    <w:multiLevelType w:val="hybridMultilevel"/>
    <w:tmpl w:val="274E3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0EB"/>
    <w:multiLevelType w:val="hybridMultilevel"/>
    <w:tmpl w:val="743A7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05D8"/>
    <w:multiLevelType w:val="hybridMultilevel"/>
    <w:tmpl w:val="09D6C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F7A75"/>
    <w:multiLevelType w:val="hybridMultilevel"/>
    <w:tmpl w:val="492A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46E57"/>
    <w:multiLevelType w:val="hybridMultilevel"/>
    <w:tmpl w:val="49F81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9764B"/>
    <w:multiLevelType w:val="hybridMultilevel"/>
    <w:tmpl w:val="507E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D5"/>
    <w:rsid w:val="000103D4"/>
    <w:rsid w:val="00021DC5"/>
    <w:rsid w:val="0003168C"/>
    <w:rsid w:val="000C5D99"/>
    <w:rsid w:val="000C60AF"/>
    <w:rsid w:val="0010688B"/>
    <w:rsid w:val="00211A4B"/>
    <w:rsid w:val="00233802"/>
    <w:rsid w:val="0025597F"/>
    <w:rsid w:val="00295B75"/>
    <w:rsid w:val="002D0CB9"/>
    <w:rsid w:val="002D7252"/>
    <w:rsid w:val="002E623E"/>
    <w:rsid w:val="002F6C19"/>
    <w:rsid w:val="00306415"/>
    <w:rsid w:val="003D618A"/>
    <w:rsid w:val="00430639"/>
    <w:rsid w:val="00446D8C"/>
    <w:rsid w:val="0046717A"/>
    <w:rsid w:val="004B0783"/>
    <w:rsid w:val="0057752E"/>
    <w:rsid w:val="005D3BED"/>
    <w:rsid w:val="006E4D49"/>
    <w:rsid w:val="006F09E4"/>
    <w:rsid w:val="0070656A"/>
    <w:rsid w:val="0076629B"/>
    <w:rsid w:val="008243CB"/>
    <w:rsid w:val="008D2141"/>
    <w:rsid w:val="0093400D"/>
    <w:rsid w:val="00940C65"/>
    <w:rsid w:val="00947966"/>
    <w:rsid w:val="00950024"/>
    <w:rsid w:val="009C10EB"/>
    <w:rsid w:val="009C73DC"/>
    <w:rsid w:val="00A46DB9"/>
    <w:rsid w:val="00A747AB"/>
    <w:rsid w:val="00AB0863"/>
    <w:rsid w:val="00AB2228"/>
    <w:rsid w:val="00AC566A"/>
    <w:rsid w:val="00AC760B"/>
    <w:rsid w:val="00AD3B99"/>
    <w:rsid w:val="00AF44D5"/>
    <w:rsid w:val="00B22F0D"/>
    <w:rsid w:val="00BA225E"/>
    <w:rsid w:val="00BC1F6D"/>
    <w:rsid w:val="00BE1082"/>
    <w:rsid w:val="00BF3449"/>
    <w:rsid w:val="00C86021"/>
    <w:rsid w:val="00D361F7"/>
    <w:rsid w:val="00D3692B"/>
    <w:rsid w:val="00D414E4"/>
    <w:rsid w:val="00D87A8A"/>
    <w:rsid w:val="00DB467D"/>
    <w:rsid w:val="00E4328B"/>
    <w:rsid w:val="00E64475"/>
    <w:rsid w:val="00E7426D"/>
    <w:rsid w:val="00EB73A8"/>
    <w:rsid w:val="00F3546F"/>
    <w:rsid w:val="00F84888"/>
    <w:rsid w:val="00FB5711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1EEE"/>
  <w15:chartTrackingRefBased/>
  <w15:docId w15:val="{C4F1ECC7-C2E9-4946-BBCE-8AA13663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17A"/>
    <w:pPr>
      <w:ind w:left="720"/>
      <w:contextualSpacing/>
    </w:pPr>
  </w:style>
  <w:style w:type="character" w:customStyle="1" w:styleId="jlqj4b">
    <w:name w:val="jlqj4b"/>
    <w:basedOn w:val="Standardnpsmoodstavce"/>
    <w:rsid w:val="00295B75"/>
  </w:style>
  <w:style w:type="character" w:styleId="Hypertextovodkaz">
    <w:name w:val="Hyperlink"/>
    <w:basedOn w:val="Standardnpsmoodstavce"/>
    <w:uiPriority w:val="99"/>
    <w:unhideWhenUsed/>
    <w:rsid w:val="000103D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cdda.europa.eu/publications/thematic-papers/ghb_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ubmed.ncbi.nlm.nih.gov/313012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msex.cz/aplikace-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Karolina.Liskova</dc:creator>
  <cp:keywords/>
  <dc:description/>
  <cp:lastModifiedBy>Karolina.Liskova</cp:lastModifiedBy>
  <cp:revision>4</cp:revision>
  <dcterms:created xsi:type="dcterms:W3CDTF">2021-11-26T08:58:00Z</dcterms:created>
  <dcterms:modified xsi:type="dcterms:W3CDTF">2021-11-26T10:45:00Z</dcterms:modified>
</cp:coreProperties>
</file>